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93C" w:rsidRDefault="009C293C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9C293C" w:rsidRDefault="009C293C">
      <w:pPr>
        <w:pStyle w:val="ConsPlusNormal"/>
        <w:ind w:firstLine="540"/>
        <w:jc w:val="both"/>
        <w:outlineLvl w:val="0"/>
      </w:pPr>
    </w:p>
    <w:p w:rsidR="009C293C" w:rsidRDefault="009C293C">
      <w:pPr>
        <w:pStyle w:val="ConsPlusTitle"/>
        <w:jc w:val="center"/>
      </w:pPr>
      <w:r>
        <w:t>МИНИСТЕРСТВО ФИНАНСОВ РОССИЙСКОЙ ФЕДЕРАЦИИ</w:t>
      </w:r>
    </w:p>
    <w:p w:rsidR="009C293C" w:rsidRDefault="009C293C">
      <w:pPr>
        <w:pStyle w:val="ConsPlusTitle"/>
        <w:jc w:val="center"/>
      </w:pPr>
    </w:p>
    <w:p w:rsidR="009C293C" w:rsidRDefault="009C293C">
      <w:pPr>
        <w:pStyle w:val="ConsPlusTitle"/>
        <w:jc w:val="center"/>
      </w:pPr>
      <w:r>
        <w:t>ФЕДЕРАЛЬНОЕ КАЗНАЧЕЙСТВО</w:t>
      </w:r>
    </w:p>
    <w:p w:rsidR="009C293C" w:rsidRDefault="009C293C">
      <w:pPr>
        <w:pStyle w:val="ConsPlusTitle"/>
        <w:jc w:val="center"/>
      </w:pPr>
    </w:p>
    <w:p w:rsidR="009C293C" w:rsidRDefault="009C293C">
      <w:pPr>
        <w:pStyle w:val="ConsPlusTitle"/>
        <w:jc w:val="center"/>
      </w:pPr>
      <w:r>
        <w:t>ПИСЬМО</w:t>
      </w:r>
    </w:p>
    <w:p w:rsidR="009C293C" w:rsidRDefault="009C293C">
      <w:pPr>
        <w:pStyle w:val="ConsPlusTitle"/>
        <w:jc w:val="center"/>
      </w:pPr>
      <w:r>
        <w:t>от 7 сентября 2017 г. N 07-04-05/22-718</w:t>
      </w:r>
    </w:p>
    <w:p w:rsidR="009C293C" w:rsidRDefault="009C293C">
      <w:pPr>
        <w:pStyle w:val="ConsPlusTitle"/>
        <w:jc w:val="center"/>
      </w:pPr>
    </w:p>
    <w:p w:rsidR="009C293C" w:rsidRDefault="009C293C">
      <w:pPr>
        <w:pStyle w:val="ConsPlusTitle"/>
        <w:jc w:val="center"/>
      </w:pPr>
      <w:r>
        <w:t>О КАЗНАЧЕЙСКОМ СОПРОВОЖДЕНИИ КОНЦЕССИОННЫХ СОГЛАШЕНИЙ</w:t>
      </w:r>
    </w:p>
    <w:p w:rsidR="009C293C" w:rsidRDefault="009C293C">
      <w:pPr>
        <w:pStyle w:val="ConsPlusNormal"/>
        <w:ind w:firstLine="540"/>
        <w:jc w:val="both"/>
      </w:pPr>
    </w:p>
    <w:p w:rsidR="009C293C" w:rsidRDefault="009C293C">
      <w:pPr>
        <w:pStyle w:val="ConsPlusNormal"/>
        <w:ind w:firstLine="540"/>
        <w:jc w:val="both"/>
      </w:pPr>
      <w:proofErr w:type="gramStart"/>
      <w:r>
        <w:t xml:space="preserve">Федеральное казначейство в связи с вступлением в силу </w:t>
      </w:r>
      <w:hyperlink r:id="rId6" w:history="1">
        <w:r>
          <w:rPr>
            <w:color w:val="0000FF"/>
          </w:rPr>
          <w:t>распоряжения</w:t>
        </w:r>
      </w:hyperlink>
      <w:r>
        <w:t xml:space="preserve"> Правительства Российской Федерации от 31 июля 2017 г. N 1644-р (далее - Распоряжение N 1644-р) об осуществлении казначейского сопровождения средств, получаемых юридическими лицами по концессионным соглашениям, в рамках которых реализуются проекты модернизации систем коммунальной инфраструктуры, на реализацию которых государственной корпорацией - Фондом содействия реформированию жилищно-коммунального хозяйства (далее - Фонд) в 2017 году предоставляется финансовая</w:t>
      </w:r>
      <w:proofErr w:type="gramEnd"/>
      <w:r>
        <w:t xml:space="preserve"> поддержка (далее - концессионные соглашения), а также средств, получаемых юридическими лицами по договорам, заключаемым в рамках исполнения концессионных соглашений, если условиями таких договоров предусмотрены авансовые платежи (далее - договоры), сообщает.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t>Территориальные органы Федерального казначейства в рамках казначейского сопровождения концессионных соглашений открывают концессионерам, а также исполнителям (соисполнителям) по указанным договорам лицевые счета для учета операций неучастника бюджетного процесса (далее - лицевые счета).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t xml:space="preserve">Открытие и ведение лицевых счетов осуществляется в порядке, установленном </w:t>
      </w:r>
      <w:hyperlink r:id="rId7" w:history="1">
        <w:r>
          <w:rPr>
            <w:color w:val="0000FF"/>
          </w:rPr>
          <w:t>Порядком</w:t>
        </w:r>
      </w:hyperlink>
      <w:r>
        <w:t xml:space="preserve"> открытия и ведения лицевых счетов территориальными органами Федерального казначейства, утвержденного приказом Федерального казначейства от 17 октября 2016 г. N 21н (далее - Порядок N 21н).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t>В случае если концедент и концессионер (концессионер и исполнитель по договору) находятся в разных субъектах Российской Федерации, то лицевой счет концессионеру (исполнителю) открывается в органе Федерального казначейства по месту нахождения концедента в следующем порядке:</w:t>
      </w:r>
    </w:p>
    <w:p w:rsidR="009C293C" w:rsidRDefault="009C293C">
      <w:pPr>
        <w:pStyle w:val="ConsPlusNormal"/>
        <w:spacing w:before="220"/>
        <w:ind w:firstLine="540"/>
        <w:jc w:val="both"/>
      </w:pPr>
      <w:proofErr w:type="gramStart"/>
      <w:r>
        <w:t xml:space="preserve">- концессионер (исполнитель по договору) представляет в орган Федерального казначейства, расположенный по месту его нахождения (далее - орган Федерального казначейства исполнителя), Заявление на открытие лицевого счета (код формы по </w:t>
      </w:r>
      <w:hyperlink r:id="rId8" w:history="1">
        <w:r>
          <w:rPr>
            <w:color w:val="0000FF"/>
          </w:rPr>
          <w:t>КФД 0531752</w:t>
        </w:r>
      </w:hyperlink>
      <w:r>
        <w:t xml:space="preserve">) (далее - Заявление), а также Карточку образцов подписей (код формы по </w:t>
      </w:r>
      <w:hyperlink r:id="rId9" w:history="1">
        <w:r>
          <w:rPr>
            <w:color w:val="0000FF"/>
          </w:rPr>
          <w:t>КФД 0531753</w:t>
        </w:r>
      </w:hyperlink>
      <w:r>
        <w:t>) (далее - Карточка образцов подписей) и копию концессионного соглашения (договора), заверенные в установленном порядке, с указанием в представленных формах по</w:t>
      </w:r>
      <w:proofErr w:type="gramEnd"/>
      <w:r>
        <w:t xml:space="preserve"> </w:t>
      </w:r>
      <w:hyperlink r:id="rId10" w:history="1">
        <w:r>
          <w:rPr>
            <w:color w:val="0000FF"/>
          </w:rPr>
          <w:t>строке</w:t>
        </w:r>
      </w:hyperlink>
      <w:r>
        <w:t xml:space="preserve"> "Орган Федерального казначейства" наименования органа Федерального казначейства по месту нахождения концедента и в кодовой зоне - кода по КОФК органа Федерального казначейства по месту нахождения концедента;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t xml:space="preserve">- орган Федерального казначейства исполнителя осуществляет проверку Заявления и Карточки образцов подписей в соответствии с </w:t>
      </w:r>
      <w:hyperlink r:id="rId11" w:history="1">
        <w:r>
          <w:rPr>
            <w:color w:val="0000FF"/>
          </w:rPr>
          <w:t>Порядком N 21н</w:t>
        </w:r>
      </w:hyperlink>
      <w:r>
        <w:t xml:space="preserve"> в течение двух рабочих дней после их поступления;</w:t>
      </w:r>
    </w:p>
    <w:p w:rsidR="009C293C" w:rsidRDefault="009C293C">
      <w:pPr>
        <w:pStyle w:val="ConsPlusNormal"/>
        <w:spacing w:before="220"/>
        <w:ind w:firstLine="540"/>
        <w:jc w:val="both"/>
      </w:pPr>
      <w:proofErr w:type="gramStart"/>
      <w:r>
        <w:t xml:space="preserve">- орган Федерального казначейства исполнителя направляет соответствующие требованиям </w:t>
      </w:r>
      <w:hyperlink r:id="rId12" w:history="1">
        <w:r>
          <w:rPr>
            <w:color w:val="0000FF"/>
          </w:rPr>
          <w:t>Порядка N 21н</w:t>
        </w:r>
      </w:hyperlink>
      <w:r>
        <w:t xml:space="preserve"> </w:t>
      </w:r>
      <w:hyperlink r:id="rId13" w:history="1">
        <w:r>
          <w:rPr>
            <w:color w:val="0000FF"/>
          </w:rPr>
          <w:t>Заявление</w:t>
        </w:r>
      </w:hyperlink>
      <w:r>
        <w:t xml:space="preserve">, </w:t>
      </w:r>
      <w:hyperlink r:id="rId14" w:history="1">
        <w:r>
          <w:rPr>
            <w:color w:val="0000FF"/>
          </w:rPr>
          <w:t>Карточку</w:t>
        </w:r>
      </w:hyperlink>
      <w:r>
        <w:t xml:space="preserve"> образцов подписей и копию концессионного соглашения (договора) в виде сканированных копий документов с сопроводительным письмом, подписанным </w:t>
      </w:r>
      <w:r>
        <w:lastRenderedPageBreak/>
        <w:t>руководителем (уполномоченным лицом) органа Федерального казначейства исполнителя, в адрес органа Федерального казначейства по месту нахождения концедента посредством ППО LanDocs, в течение четырех рабочих дней после их поступления с последующей отправкой документов на</w:t>
      </w:r>
      <w:proofErr w:type="gramEnd"/>
      <w:r>
        <w:t xml:space="preserve"> бумажных </w:t>
      </w:r>
      <w:proofErr w:type="gramStart"/>
      <w:r>
        <w:t>носителях</w:t>
      </w:r>
      <w:proofErr w:type="gramEnd"/>
      <w:r>
        <w:t>;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t xml:space="preserve">- орган Федерального казначейства по месту нахождения концедента на основании полученных </w:t>
      </w:r>
      <w:hyperlink r:id="rId15" w:history="1">
        <w:r>
          <w:rPr>
            <w:color w:val="0000FF"/>
          </w:rPr>
          <w:t>Заявления</w:t>
        </w:r>
      </w:hyperlink>
      <w:r>
        <w:t xml:space="preserve">, </w:t>
      </w:r>
      <w:hyperlink r:id="rId16" w:history="1">
        <w:r>
          <w:rPr>
            <w:color w:val="0000FF"/>
          </w:rPr>
          <w:t>Карточки</w:t>
        </w:r>
      </w:hyperlink>
      <w:r>
        <w:t xml:space="preserve"> образцов подписей и копии концессионного соглашения (договора) открывает концессионеру (исполнителю по договору) лицевой счет не позднее следующего рабочего дня после их поступления. Полученные документы хранятся в органе Федерального казначейства исполнителя в личном деле клиента.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t>Операции на лицевом счете, открытом концессионеру (исполнителю по договору), осуществляются на основании представленных им в орган Федерального казначейства по месту нахождения концедента посредством прикладного программного обеспечения "Система удаленного финансового документооборота" (далее - ППО СУФД) платежных поручений, оформленных в установленном порядке.</w:t>
      </w:r>
    </w:p>
    <w:p w:rsidR="009C293C" w:rsidRDefault="009C293C">
      <w:pPr>
        <w:pStyle w:val="ConsPlusNormal"/>
        <w:spacing w:before="220"/>
        <w:ind w:firstLine="540"/>
        <w:jc w:val="both"/>
      </w:pPr>
      <w:proofErr w:type="gramStart"/>
      <w:r>
        <w:t xml:space="preserve">Документы Выписка из лицевого счета для учета операций неучастника бюджетного процесса (код формы по </w:t>
      </w:r>
      <w:hyperlink r:id="rId17" w:history="1">
        <w:r>
          <w:rPr>
            <w:color w:val="0000FF"/>
          </w:rPr>
          <w:t>КФД 0531834</w:t>
        </w:r>
      </w:hyperlink>
      <w:r>
        <w:t xml:space="preserve">), Приложение к Выписке из лицевого счета для учета операций неучастника бюджетного процесса (код формы по </w:t>
      </w:r>
      <w:hyperlink r:id="rId18" w:history="1">
        <w:r>
          <w:rPr>
            <w:color w:val="0000FF"/>
          </w:rPr>
          <w:t>КФД 0531838</w:t>
        </w:r>
      </w:hyperlink>
      <w:r>
        <w:t xml:space="preserve">), Отчет о состоянии лицевого счета для учета операций неучастника бюджетного процесса (код формы по </w:t>
      </w:r>
      <w:hyperlink r:id="rId19" w:history="1">
        <w:r>
          <w:rPr>
            <w:color w:val="0000FF"/>
          </w:rPr>
          <w:t>КФД 0531837</w:t>
        </w:r>
      </w:hyperlink>
      <w:r>
        <w:t>) направляются концессионеру (исполнителю по договору) органом Федерального казначейства по месту нахождения</w:t>
      </w:r>
      <w:proofErr w:type="gramEnd"/>
      <w:r>
        <w:t xml:space="preserve"> концедента также посредством ППО СУФД.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t>Вместе с тем, если исполнитель (соисполнитель) по договору, заключенному в рамках исполнения концессионного соглашения, не является резидентом Российской Федерации, то указанному исполнителю (соисполнителю) лицевые счета в органах Федерального казначейства не открываются.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t>На лицевых счетах, открытых концессионерам, учитываются: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t>средства финансовой поддержки Фонда;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t xml:space="preserve">средства бюджета субъекта Российской Федерации и (или) средства бюджета муниципального образования, предусмотренные в указанных бюджетах на </w:t>
      </w:r>
      <w:proofErr w:type="gramStart"/>
      <w:r>
        <w:t>долевое</w:t>
      </w:r>
      <w:proofErr w:type="gramEnd"/>
      <w:r>
        <w:t xml:space="preserve"> софинансирование мероприятий по реализации проекта модернизации систем коммунальной инфраструктуры (при наличии);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t>средства долевого софинансирования концессионера (при согласии концессионера).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t>В целях идентификации расчетов по концессионным соглашениям, а также расчетов по договорам, заключаемым в рамках исполнения концессионных соглашений, используется идентификатор концессионного соглашения.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t xml:space="preserve">Идентификатор концессионного соглашения формируется органом Федерального казначейства по месту открытия лицевого счета концессионера, </w:t>
      </w:r>
      <w:proofErr w:type="gramStart"/>
      <w:r>
        <w:t>представляет собой двадцатизначный цифровой код и имеет</w:t>
      </w:r>
      <w:proofErr w:type="gramEnd"/>
      <w:r>
        <w:t xml:space="preserve"> следующую структуру: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t>а) 1 - 11 разряды - свободные знаки, обозначаются нулями;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t>б) 12 - 13 разряд - первые два разряда кода органа Федерального казначейства, присвоенного Федеральным казначейством;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t>в) 14 разряд - код типа бюджета бюджетной системы Российской Федерации (указывается "6");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lastRenderedPageBreak/>
        <w:t>г) 15 - 16 разряды - последние две цифры года, в котором осуществляется казначейское сопровождение концессионного соглашения;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t>д) 17 - 19 разряды - порядковый номер, присваиваемый органом Федерального казначейства последовательно в соответствии со сквозной нумерацией, осуществляемой в пределах календарного года в разрезе концессионеров;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t>е) 20 разряд - указывается "6".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t>Орган Федерального казначейства, сформировавший идентификатор концессионного соглашения, не позднее рабочего дня, следующего за днем формирования такого идентификатора, информирует в письменной форме концедента и концессионера о его формировании.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t>Идентификатор концессионного соглашения указывается: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t>в договорах, заключаемых в рамках исполнения концессионного соглашения, через символ "/" перед номером договора;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t>в документах, подтверждающих возникновение денежных обязательств, через символ "/" перед номером документа;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t>в счете-фактуре в строке "Идентификатор государственного контракта, договора (соглашения)";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t>в платежных документах.</w:t>
      </w:r>
    </w:p>
    <w:p w:rsidR="009C293C" w:rsidRDefault="009C293C">
      <w:pPr>
        <w:pStyle w:val="ConsPlusNormal"/>
        <w:spacing w:before="220"/>
        <w:ind w:firstLine="540"/>
        <w:jc w:val="both"/>
      </w:pPr>
      <w:proofErr w:type="gramStart"/>
      <w:r>
        <w:t xml:space="preserve">Санкционирование расходов с лицевых счетов, открытых концессионерам (исполнителям по договорам), осуществляется в порядке, установленном </w:t>
      </w:r>
      <w:hyperlink r:id="rId20" w:history="1">
        <w:r>
          <w:rPr>
            <w:color w:val="0000FF"/>
          </w:rPr>
          <w:t>Порядком</w:t>
        </w:r>
      </w:hyperlink>
      <w:r>
        <w:t xml:space="preserve"> проведения территориальными органами Федерального казначейства санкционирования операций при казначейском сопровождении средств в валюте Российской Федерации в случаях, предусмотренных федеральным законом "О федеральном бюджете на 2017 год и на плановый период 2018 и 2019 годов", утвержденным приказом Министерства финансов Российской Федерации от 28 декабря 2016 г</w:t>
      </w:r>
      <w:proofErr w:type="gramEnd"/>
      <w:r>
        <w:t>. N 244н.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t xml:space="preserve">Для санкционирования расходов концессионер представляет в орган Федерального казначейства по месту открытия ему лицевого счета, а также концеденту Сведения об исполнителях (соисполнителях) государственных контрактов, контрактов учреждений, договоров (соглашений) (код формы по </w:t>
      </w:r>
      <w:hyperlink r:id="rId21" w:history="1">
        <w:r>
          <w:rPr>
            <w:color w:val="0000FF"/>
          </w:rPr>
          <w:t>ОКУД 0501116</w:t>
        </w:r>
      </w:hyperlink>
      <w:r>
        <w:t>).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t xml:space="preserve">Кроме того, концессионер (исполнитель по договору) представляет в указанный орган Федерального казначейства Сведения о направлениях расходования целевых средств на ____ год и на плановый период ____ и ____ годов (код формы по </w:t>
      </w:r>
      <w:hyperlink r:id="rId22" w:history="1">
        <w:r>
          <w:rPr>
            <w:color w:val="0000FF"/>
          </w:rPr>
          <w:t>ОКУД 0501117</w:t>
        </w:r>
      </w:hyperlink>
      <w:r>
        <w:t>) (далее - Сведения).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t>При этом Сведения для осуществления расходов с лицевого счета концессионера утверждаются концедентом, с лицевого счета исполнителя (соисполнителя) по договору - юридическим лицом, являющимся заказчиком по данному договору.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t xml:space="preserve">В соответствии с положениями </w:t>
      </w:r>
      <w:hyperlink r:id="rId23" w:history="1">
        <w:r>
          <w:rPr>
            <w:color w:val="0000FF"/>
          </w:rPr>
          <w:t>Распоряжения N 1644-р</w:t>
        </w:r>
      </w:hyperlink>
      <w:r>
        <w:t xml:space="preserve"> органы Федерального казначейства дополнительно осуществляют контроль </w:t>
      </w:r>
      <w:proofErr w:type="gramStart"/>
      <w:r>
        <w:t>за</w:t>
      </w:r>
      <w:proofErr w:type="gramEnd"/>
      <w:r>
        <w:t>: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t xml:space="preserve">- непревышением предусмотренных концессионными соглашениями размеров </w:t>
      </w:r>
      <w:proofErr w:type="gramStart"/>
      <w:r>
        <w:t>долевого</w:t>
      </w:r>
      <w:proofErr w:type="gramEnd"/>
      <w:r>
        <w:t xml:space="preserve"> софинансирования в части средств, получаемых концессионерами;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t xml:space="preserve">- соответствием содержащейся в документах, подтверждающих возникновение денежных обязательств, информации о сроках и количестве поставки товаров (выполнения работ, оказания </w:t>
      </w:r>
      <w:r>
        <w:lastRenderedPageBreak/>
        <w:t>услуг) условиям концессионных соглашений,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t>а также проверку фактов поставки товаров (выполнения работ, оказания услуг) с использованием фот</w:t>
      </w:r>
      <w:proofErr w:type="gramStart"/>
      <w:r>
        <w:t>о-</w:t>
      </w:r>
      <w:proofErr w:type="gramEnd"/>
      <w:r>
        <w:t xml:space="preserve"> и видеотехники.</w:t>
      </w:r>
    </w:p>
    <w:p w:rsidR="009C293C" w:rsidRDefault="009C293C">
      <w:pPr>
        <w:pStyle w:val="ConsPlusNormal"/>
        <w:spacing w:before="220"/>
        <w:ind w:firstLine="540"/>
        <w:jc w:val="both"/>
      </w:pPr>
      <w:r>
        <w:t xml:space="preserve">Учитывая, что по ряду концессионных соглашений (договоров) работы выполнены и документы, подтверждающие возникновение обязательств, подписаны со стороны концедента и концессионера до момента вступления в силу </w:t>
      </w:r>
      <w:hyperlink r:id="rId24" w:history="1">
        <w:r>
          <w:rPr>
            <w:color w:val="0000FF"/>
          </w:rPr>
          <w:t>Распоряжения N 1644-р</w:t>
        </w:r>
      </w:hyperlink>
      <w:r>
        <w:t xml:space="preserve"> и перевода концессионных соглашений на казначейское сопровождение, Федеральное казначейство считает возможным осуществлять санкционирование расходов на основании указанных документов, в том числе актов скрытых работ, после осуществления органами Федерального казначейства фот</w:t>
      </w:r>
      <w:proofErr w:type="gramStart"/>
      <w:r>
        <w:t>о-</w:t>
      </w:r>
      <w:proofErr w:type="gramEnd"/>
      <w:r>
        <w:t xml:space="preserve"> видеофиксации факта поставки товаров (выполнения работ, оказания услуг), произведенных до момента перевода концессионных соглашений на казначейское сопровождение.</w:t>
      </w:r>
    </w:p>
    <w:p w:rsidR="009C293C" w:rsidRDefault="009C293C">
      <w:pPr>
        <w:pStyle w:val="ConsPlusNormal"/>
        <w:ind w:firstLine="540"/>
        <w:jc w:val="both"/>
      </w:pPr>
    </w:p>
    <w:p w:rsidR="009C293C" w:rsidRDefault="009C293C">
      <w:pPr>
        <w:pStyle w:val="ConsPlusNormal"/>
        <w:jc w:val="right"/>
      </w:pPr>
      <w:r>
        <w:t>Р.Е.АРТЮХИН</w:t>
      </w:r>
    </w:p>
    <w:p w:rsidR="009C293C" w:rsidRDefault="009C293C">
      <w:pPr>
        <w:pStyle w:val="ConsPlusNormal"/>
        <w:ind w:firstLine="540"/>
        <w:jc w:val="both"/>
      </w:pPr>
    </w:p>
    <w:p w:rsidR="009C293C" w:rsidRDefault="009C293C">
      <w:pPr>
        <w:pStyle w:val="ConsPlusNormal"/>
        <w:ind w:firstLine="540"/>
        <w:jc w:val="both"/>
      </w:pPr>
    </w:p>
    <w:p w:rsidR="009C293C" w:rsidRDefault="009C293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11F9C" w:rsidRDefault="00011F9C">
      <w:bookmarkStart w:id="0" w:name="_GoBack"/>
      <w:bookmarkEnd w:id="0"/>
    </w:p>
    <w:sectPr w:rsidR="00011F9C" w:rsidSect="003F0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93C"/>
    <w:rsid w:val="00011F9C"/>
    <w:rsid w:val="009C2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29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C29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C293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29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C29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C293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17B14F8FFC823719B9F9E1BF1154BA41EF85937EBB5098992241369C094AF776FA8B4A0F7F0EAFQ1Q3M" TargetMode="External"/><Relationship Id="rId13" Type="http://schemas.openxmlformats.org/officeDocument/2006/relationships/hyperlink" Target="consultantplus://offline/ref=0217B14F8FFC823719B9F9E1BF1154BA41EF85937EBB5098992241369C094AF776FA8B4A0F7F0EAFQ1Q3M" TargetMode="External"/><Relationship Id="rId18" Type="http://schemas.openxmlformats.org/officeDocument/2006/relationships/hyperlink" Target="consultantplus://offline/ref=0217B14F8FFC823719B9F9E1BF1154BA41EF85937EBB5098992241369C094AF776FA8B4A0F760DA0Q1Q3M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217B14F8FFC823719B9F9E1BF1154BA41EE8B9170BB5098992241369C094AF776FA8B4A0F7F0AACQ1Q3M" TargetMode="External"/><Relationship Id="rId7" Type="http://schemas.openxmlformats.org/officeDocument/2006/relationships/hyperlink" Target="consultantplus://offline/ref=0217B14F8FFC823719B9F9E1BF1154BA41EF85937EBB5098992241369C094AF776FA8B4A0F7F09A9Q1Q3M" TargetMode="External"/><Relationship Id="rId12" Type="http://schemas.openxmlformats.org/officeDocument/2006/relationships/hyperlink" Target="consultantplus://offline/ref=0217B14F8FFC823719B9F9E1BF1154BA41EF85937EBB5098992241369C094AF776FA8B4A0F7F09A9Q1Q3M" TargetMode="External"/><Relationship Id="rId17" Type="http://schemas.openxmlformats.org/officeDocument/2006/relationships/hyperlink" Target="consultantplus://offline/ref=0217B14F8FFC823719B9F9E1BF1154BA41EF85937EBB5098992241369C094AF776FA8B4A0F7C0FACQ1Q3M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217B14F8FFC823719B9F9E1BF1154BA41EF85937EBB5098992241369C094AF776FA8B4A0F7F01A9Q1Q9M" TargetMode="External"/><Relationship Id="rId20" Type="http://schemas.openxmlformats.org/officeDocument/2006/relationships/hyperlink" Target="consultantplus://offline/ref=0217B14F8FFC823719B9F9E1BF1154BA41EE8B9170BB5098992241369C094AF776FA8B4A0F7F09A9Q1Q9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217B14F8FFC823719B9F0F0AA1154BA45E68B9772BB5098992241369CQ0Q9M" TargetMode="External"/><Relationship Id="rId11" Type="http://schemas.openxmlformats.org/officeDocument/2006/relationships/hyperlink" Target="consultantplus://offline/ref=0217B14F8FFC823719B9F9E1BF1154BA41EF85937EBB5098992241369C094AF776FA8B4A0F7F09A9Q1Q3M" TargetMode="External"/><Relationship Id="rId24" Type="http://schemas.openxmlformats.org/officeDocument/2006/relationships/hyperlink" Target="consultantplus://offline/ref=0217B14F8FFC823719B9F0F0AA1154BA45E68B9772BB5098992241369CQ0Q9M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0217B14F8FFC823719B9F9E1BF1154BA41EF85937EBB5098992241369C094AF776FA8B4A0F7F0EAFQ1Q3M" TargetMode="External"/><Relationship Id="rId23" Type="http://schemas.openxmlformats.org/officeDocument/2006/relationships/hyperlink" Target="consultantplus://offline/ref=0217B14F8FFC823719B9F0F0AA1154BA45E68B9772BB5098992241369CQ0Q9M" TargetMode="External"/><Relationship Id="rId10" Type="http://schemas.openxmlformats.org/officeDocument/2006/relationships/hyperlink" Target="consultantplus://offline/ref=0217B14F8FFC823719B9F9E1BF1154BA41EF85937EBB5098992241369C094AF776FA8B4A0F7F0EA1Q1QDM" TargetMode="External"/><Relationship Id="rId19" Type="http://schemas.openxmlformats.org/officeDocument/2006/relationships/hyperlink" Target="consultantplus://offline/ref=0217B14F8FFC823719B9F9E1BF1154BA41EF85937EBB5098992241369C094AF776FA8B4A0F7A0EA8Q1QF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217B14F8FFC823719B9F9E1BF1154BA41EF85937EBB5098992241369C094AF776FA8B4A0F7F01A9Q1Q9M" TargetMode="External"/><Relationship Id="rId14" Type="http://schemas.openxmlformats.org/officeDocument/2006/relationships/hyperlink" Target="consultantplus://offline/ref=0217B14F8FFC823719B9F9E1BF1154BA41EF85937EBB5098992241369C094AF776FA8B4A0F7F01A9Q1Q9M" TargetMode="External"/><Relationship Id="rId22" Type="http://schemas.openxmlformats.org/officeDocument/2006/relationships/hyperlink" Target="consultantplus://offline/ref=0217B14F8FFC823719B9F9E1BF1154BA41EE8B9170BB5098992241369C094AF776FA8B4A0F7F08ADQ1Q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1786</Words>
  <Characters>10181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Нижегородской области</Company>
  <LinksUpToDate>false</LinksUpToDate>
  <CharactersWithSpaces>11944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УФК</dc:creator>
  <cp:lastModifiedBy>Пользователь УФК</cp:lastModifiedBy>
  <cp:revision>1</cp:revision>
  <dcterms:created xsi:type="dcterms:W3CDTF">2017-10-12T12:16:00Z</dcterms:created>
  <dcterms:modified xsi:type="dcterms:W3CDTF">2017-10-12T12:17:00Z</dcterms:modified>
</cp:coreProperties>
</file>